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415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D0D6FBF" w14:textId="1867DCC7" w:rsidR="008F22B2" w:rsidRDefault="00975E94" w:rsidP="008F22B2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NR RZZO/</w:t>
      </w:r>
      <w:r w:rsidR="004F2526" w:rsidRPr="00EB0942">
        <w:rPr>
          <w:b/>
          <w:color w:val="auto"/>
          <w:sz w:val="22"/>
        </w:rPr>
        <w:t>DA</w:t>
      </w:r>
      <w:r w:rsidR="00C541BF">
        <w:rPr>
          <w:b/>
          <w:color w:val="auto"/>
          <w:sz w:val="22"/>
        </w:rPr>
        <w:t>/2022/11</w:t>
      </w:r>
      <w:r w:rsidR="006D6406">
        <w:rPr>
          <w:b/>
          <w:color w:val="auto"/>
          <w:sz w:val="22"/>
        </w:rPr>
        <w:t>/……</w:t>
      </w:r>
    </w:p>
    <w:p w14:paraId="427014E0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0DDB714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4C57513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6292894" w14:textId="6BBAA7E7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</w:t>
      </w:r>
      <w:r w:rsidR="00575173">
        <w:rPr>
          <w:i/>
        </w:rPr>
        <w:t>oraz</w:t>
      </w:r>
      <w:r w:rsidRPr="00975E94">
        <w:rPr>
          <w:i/>
        </w:rPr>
        <w:t xml:space="preserve"> zagospodarowanie odpadów </w:t>
      </w:r>
      <w:r w:rsidR="00D439DC">
        <w:rPr>
          <w:i/>
        </w:rPr>
        <w:t>ulegając</w:t>
      </w:r>
      <w:r w:rsidR="00575173">
        <w:rPr>
          <w:i/>
        </w:rPr>
        <w:t>ych</w:t>
      </w:r>
      <w:r w:rsidR="00D439DC">
        <w:rPr>
          <w:i/>
        </w:rPr>
        <w:t xml:space="preserve"> biodegradacji</w:t>
      </w:r>
      <w:r w:rsidR="00575173">
        <w:rPr>
          <w:i/>
        </w:rPr>
        <w:t xml:space="preserve"> </w:t>
      </w:r>
      <w:r w:rsidR="00575173" w:rsidRPr="00975E94">
        <w:rPr>
          <w:i/>
        </w:rPr>
        <w:t xml:space="preserve">o kodzie </w:t>
      </w:r>
      <w:r w:rsidR="00575173">
        <w:rPr>
          <w:i/>
        </w:rPr>
        <w:t>20 02 01</w:t>
      </w:r>
      <w:r w:rsidR="00575173" w:rsidRPr="00975E94">
        <w:rPr>
          <w:i/>
        </w:rPr>
        <w:t xml:space="preserve"> </w:t>
      </w:r>
    </w:p>
    <w:p w14:paraId="440684F7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927D158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97001A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6EBA4D6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91F72D7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76859EC8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7F296872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7298DF1D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6DB4458E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37DD59B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1C68D94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323C08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1735F3DF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BD97A5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31365A21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D2C82A0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7F9BF768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1D6F5555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53295DCB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5000C42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1DE3462D" w14:textId="6318F1A3"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</w:t>
      </w:r>
      <w:r w:rsidR="00C541BF">
        <w:t xml:space="preserve">ulegających biodegradacji </w:t>
      </w:r>
      <w:r w:rsidR="00C71556">
        <w:t xml:space="preserve">o kodzie </w:t>
      </w:r>
      <w:r w:rsidR="00D439DC">
        <w:t>20 02 01</w:t>
      </w:r>
      <w:r w:rsidR="00CF3ED8" w:rsidRPr="002D5D58">
        <w:rPr>
          <w:color w:val="auto"/>
        </w:rPr>
        <w:t>.</w:t>
      </w:r>
    </w:p>
    <w:p w14:paraId="3307EC1D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51F9DE1D" w14:textId="77777777"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14:paraId="79CAE69B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77FDD3F9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5FB9E779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79F1FC13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53604D0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078D82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2708D6E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19298FD3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6A7F49B2" w14:textId="5C5C65ED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2300BA">
        <w:rPr>
          <w:color w:val="auto"/>
        </w:rPr>
        <w:t>500</w:t>
      </w:r>
      <w:r w:rsidRPr="00340578">
        <w:rPr>
          <w:color w:val="auto"/>
        </w:rPr>
        <w:t xml:space="preserve"> Mg</w:t>
      </w:r>
      <w:r w:rsidR="00437DA2" w:rsidRPr="005945E0">
        <w:rPr>
          <w:color w:val="auto"/>
        </w:rPr>
        <w:t>.</w:t>
      </w:r>
      <w:r w:rsidR="00D306E7" w:rsidRPr="00D306E7">
        <w:rPr>
          <w:color w:val="auto"/>
        </w:rPr>
        <w:t xml:space="preserve"> </w:t>
      </w:r>
      <w:r w:rsidR="00D306E7" w:rsidRPr="00E80E24">
        <w:rPr>
          <w:color w:val="auto"/>
        </w:rPr>
        <w:t xml:space="preserve">Jednocześnie Wykonawca gwarantuje minimalną ilość odebranych odpadów na poziomie </w:t>
      </w:r>
      <w:r w:rsidR="002300BA">
        <w:rPr>
          <w:color w:val="auto"/>
        </w:rPr>
        <w:t>475</w:t>
      </w:r>
      <w:r w:rsidR="00A14010" w:rsidRPr="00340578">
        <w:rPr>
          <w:color w:val="auto"/>
        </w:rPr>
        <w:t xml:space="preserve"> </w:t>
      </w:r>
      <w:r w:rsidR="00D306E7" w:rsidRPr="00340578">
        <w:rPr>
          <w:color w:val="auto"/>
        </w:rPr>
        <w:t>Mg</w:t>
      </w:r>
    </w:p>
    <w:p w14:paraId="303B2CC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69316C1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odbywał się będzie z terenu Regionalnego Zakładu Zagospodarowania Odpadów Sp. z o.o., ul. </w:t>
      </w:r>
      <w:proofErr w:type="spellStart"/>
      <w:r w:rsidRPr="00975E94">
        <w:t>Staroprzygodzka</w:t>
      </w:r>
      <w:proofErr w:type="spellEnd"/>
      <w:r w:rsidRPr="00975E94">
        <w:t xml:space="preserve"> 121, 63 – 400 Ostrów Wielkopolski</w:t>
      </w:r>
      <w:r w:rsidR="001D31E9">
        <w:t>.</w:t>
      </w:r>
      <w:r w:rsidRPr="00975E94">
        <w:t xml:space="preserve">  </w:t>
      </w:r>
    </w:p>
    <w:p w14:paraId="280D799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7FF5726" w14:textId="7E7151AF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2300BA">
        <w:rPr>
          <w:spacing w:val="4"/>
        </w:rPr>
        <w:t>475</w:t>
      </w:r>
      <w:r w:rsidR="005945E0">
        <w:rPr>
          <w:spacing w:val="4"/>
        </w:rPr>
        <w:t xml:space="preserve"> Mg.</w:t>
      </w:r>
      <w:r w:rsidRPr="00975E94">
        <w:t xml:space="preserve"> </w:t>
      </w:r>
    </w:p>
    <w:p w14:paraId="09BF21DA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048261E5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18F23C6D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14:paraId="2004D7D9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74D966C9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53492DBF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1F25C89B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078DAAE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60E2AD38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731C31DB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1BB189B5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04FCB502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6DB8AF71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612F7836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75239A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75C4FD96" w14:textId="00F93A31" w:rsidR="00975E94" w:rsidRDefault="00975E94" w:rsidP="00C541BF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C541BF">
        <w:t xml:space="preserve"> </w:t>
      </w:r>
      <w:r w:rsidR="004147CD">
        <w:t xml:space="preserve">a Zamawiający zobowiązuje się </w:t>
      </w:r>
      <w:r w:rsidR="00361662">
        <w:t xml:space="preserve">płacić </w:t>
      </w:r>
      <w:r w:rsidR="004147CD">
        <w:t xml:space="preserve">w/w cenę </w:t>
      </w:r>
      <w:r w:rsidRPr="00975E94">
        <w:t xml:space="preserve">za odebrany </w:t>
      </w:r>
      <w:r w:rsidR="006B3B0B">
        <w:t>odpad.</w:t>
      </w:r>
      <w:r w:rsidRPr="00975E94">
        <w:t xml:space="preserve"> </w:t>
      </w:r>
    </w:p>
    <w:p w14:paraId="21416199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449F908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lastRenderedPageBreak/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04E3889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01F07638" w14:textId="77777777" w:rsidR="003A5C35" w:rsidRPr="00975E94" w:rsidRDefault="003A5C35" w:rsidP="003A5C35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>
        <w:t>e odpady</w:t>
      </w:r>
      <w:r w:rsidRPr="00975E94">
        <w:t xml:space="preserve"> Zamawiający zobowiązuje się regulować w oparciu o faktury VAT wystawione przez Wykonawcę.</w:t>
      </w:r>
    </w:p>
    <w:p w14:paraId="00F3E87D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>
        <w:br/>
      </w:r>
      <w:r w:rsidRPr="00975E94">
        <w:t>przez Wykonawcę, raz w miesiącu, w terminie</w:t>
      </w:r>
      <w:r>
        <w:t xml:space="preserve"> </w:t>
      </w:r>
      <w:r w:rsidRPr="00993545">
        <w:rPr>
          <w:b/>
          <w:bCs/>
        </w:rPr>
        <w:t xml:space="preserve">21 dni </w:t>
      </w:r>
      <w:r w:rsidRPr="00975E94">
        <w:t xml:space="preserve">od dnia ich doręczenia Zamawiającemu. </w:t>
      </w:r>
    </w:p>
    <w:p w14:paraId="282AA1FC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6950F38" w14:textId="77777777" w:rsidR="003A5C35" w:rsidRPr="00975E94" w:rsidRDefault="003A5C35" w:rsidP="003A5C35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1F759367" w14:textId="77777777" w:rsidR="003A5C35" w:rsidRPr="000A7C6E" w:rsidRDefault="003A5C35" w:rsidP="003A5C35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Pr="000A7C6E">
        <w:rPr>
          <w:color w:val="auto"/>
        </w:rPr>
        <w:t>mową w szczególności w przypa</w:t>
      </w:r>
      <w:r>
        <w:rPr>
          <w:color w:val="auto"/>
        </w:rPr>
        <w:t>dku nie rozpoczęcia realizacji U</w:t>
      </w:r>
      <w:r w:rsidRPr="000A7C6E">
        <w:rPr>
          <w:color w:val="auto"/>
        </w:rPr>
        <w:t>mowy lub braku odbioru odpadów na okres powyżej</w:t>
      </w:r>
      <w:r>
        <w:rPr>
          <w:color w:val="auto"/>
        </w:rPr>
        <w:t xml:space="preserve"> 5 dni - w wysokości 1% netto </w:t>
      </w:r>
      <w:r w:rsidRPr="000A7C6E">
        <w:rPr>
          <w:color w:val="auto"/>
        </w:rPr>
        <w:t xml:space="preserve"> wskazanej w ofercie stanowiącej Załącznik nr 1 do SWZ</w:t>
      </w:r>
      <w:r>
        <w:rPr>
          <w:color w:val="auto"/>
        </w:rPr>
        <w:t>,</w:t>
      </w:r>
    </w:p>
    <w:p w14:paraId="7CA48D26" w14:textId="77777777" w:rsidR="003A5C35" w:rsidRPr="00104281" w:rsidRDefault="003A5C35" w:rsidP="003A5C35">
      <w:pPr>
        <w:pStyle w:val="Akapitzlist"/>
        <w:numPr>
          <w:ilvl w:val="0"/>
          <w:numId w:val="30"/>
        </w:numPr>
        <w:spacing w:after="81" w:line="360" w:lineRule="auto"/>
        <w:ind w:left="851" w:right="20" w:hanging="425"/>
        <w:rPr>
          <w:color w:val="auto"/>
        </w:rPr>
      </w:pPr>
      <w:r w:rsidRPr="000A7C6E">
        <w:rPr>
          <w:color w:val="auto"/>
        </w:rPr>
        <w:t>zwłoki w odbiorze odpadu - w</w:t>
      </w:r>
      <w:r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</w:t>
      </w:r>
      <w:r w:rsidRPr="00104281">
        <w:rPr>
          <w:color w:val="auto"/>
        </w:rPr>
        <w:t>Zamawiającego przesłanej drogą mailową, o której mowa w § 3 ust. 2 Umowy.</w:t>
      </w:r>
    </w:p>
    <w:p w14:paraId="4FC7F23D" w14:textId="77777777" w:rsidR="003A5C35" w:rsidRPr="00104281" w:rsidRDefault="003A5C35" w:rsidP="003A5C35">
      <w:pPr>
        <w:pStyle w:val="Akapitzlist"/>
        <w:numPr>
          <w:ilvl w:val="0"/>
          <w:numId w:val="4"/>
        </w:numPr>
        <w:spacing w:after="81" w:line="360" w:lineRule="auto"/>
        <w:ind w:right="20" w:hanging="383"/>
        <w:rPr>
          <w:color w:val="auto"/>
        </w:rPr>
      </w:pPr>
      <w:r w:rsidRPr="00104281">
        <w:rPr>
          <w:color w:val="auto"/>
        </w:rPr>
        <w:t xml:space="preserve">Strony postanawiają, że Zamawiający zapłaci Wykonawcy karę umowną </w:t>
      </w:r>
      <w:r w:rsidRPr="00104281">
        <w:rPr>
          <w:color w:val="auto"/>
          <w:szCs w:val="21"/>
        </w:rPr>
        <w:t>w razie odstąpienia od umowy lub rozwiązania umowy z przyczyn leżących po stronie Zamawiającego. Wykonawca może naliczyć Zamawiającemu karę umowną w wysokości 1% netto wartości wskazanej w ofercie stanowiącej Załącznik nr 1 do SWZ.</w:t>
      </w:r>
    </w:p>
    <w:p w14:paraId="44A4E0F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</w:rPr>
      </w:pPr>
      <w:r w:rsidRPr="00104281">
        <w:rPr>
          <w:color w:val="auto"/>
        </w:rPr>
        <w:t>Za opóźnienie w zapłacie wynagrodzenia umownego Wykonawca ma prawo naliczać odsetki ustawowe za opóźnienie w transakcjach handlowych.</w:t>
      </w:r>
    </w:p>
    <w:p w14:paraId="0456E5D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  <w:szCs w:val="21"/>
        </w:rPr>
      </w:pPr>
      <w:r w:rsidRPr="00104281">
        <w:rPr>
          <w:color w:val="auto"/>
          <w:szCs w:val="21"/>
        </w:rPr>
        <w:t>Wykonawca ma prawo odstąpić od umowy, jeżeli Zamawiający pozostaje w zwłoce z zapłatą wynagrodzenia za dwa pełne miesiące.</w:t>
      </w:r>
    </w:p>
    <w:p w14:paraId="14BBD328" w14:textId="77777777" w:rsidR="003A5C35" w:rsidRPr="00104281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104281">
        <w:rPr>
          <w:color w:val="auto"/>
        </w:rPr>
        <w:t>Strony zastrzegają sobie prawo do odszkodowania uzupełniającego przenoszącego wysokość zastrzeżonych kar umownych do wysokości rzeczywiście poniesionej szkody.</w:t>
      </w:r>
    </w:p>
    <w:p w14:paraId="04A0508B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>§ 4 ust 3 oraz § 6 ust.4 niniejszej  umowy nie może przekraczać 20% wartości netto umowy określonej w § 1 ust. 2 niniejszej umowy.</w:t>
      </w:r>
    </w:p>
    <w:p w14:paraId="153EA204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2D5D58">
        <w:rPr>
          <w:color w:val="auto"/>
        </w:rPr>
        <w:lastRenderedPageBreak/>
        <w:t xml:space="preserve">umownej, Zamawiający jest uprawniony do żądania odszkodowania na zasadach ogólnych, wynikających z przepisów Kodeksu cywilnego – niezależnie od tego, czy realizuje uprawnienia do otrzymania kary umownej. </w:t>
      </w:r>
    </w:p>
    <w:p w14:paraId="1EDA2BCD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Wykonawca zapłaci karę umowną w terminie </w:t>
      </w:r>
      <w:r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F346DA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595FDA17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4D3E7B3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1091B02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055E008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02463A8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5B40ACA1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B2B76EE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14:paraId="2D7E5C28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63A2403F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6287A94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09769E7B" w14:textId="4D63473D" w:rsidR="00975E94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26AA8E4E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82213F5" w14:textId="6DC958CA" w:rsidR="00975E94" w:rsidRDefault="00575173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>
        <w:rPr>
          <w:color w:val="auto"/>
        </w:rPr>
        <w:t xml:space="preserve">Termin realizacji umowy </w:t>
      </w:r>
      <w:r w:rsidR="00545967">
        <w:rPr>
          <w:color w:val="auto"/>
        </w:rPr>
        <w:t xml:space="preserve">30 </w:t>
      </w:r>
      <w:proofErr w:type="spellStart"/>
      <w:r w:rsidR="00545967">
        <w:rPr>
          <w:color w:val="auto"/>
        </w:rPr>
        <w:t>dn</w:t>
      </w:r>
      <w:proofErr w:type="spellEnd"/>
      <w:r w:rsidR="006D6406">
        <w:rPr>
          <w:color w:val="auto"/>
        </w:rPr>
        <w:t xml:space="preserve"> </w:t>
      </w:r>
      <w:r w:rsidR="006D6406">
        <w:rPr>
          <w:color w:val="auto"/>
        </w:rPr>
        <w:t>od dnia ………………</w:t>
      </w:r>
      <w:r w:rsidR="006D6406">
        <w:rPr>
          <w:color w:val="auto"/>
        </w:rPr>
        <w:t>……….</w:t>
      </w:r>
      <w:bookmarkStart w:id="0" w:name="_GoBack"/>
      <w:bookmarkEnd w:id="0"/>
      <w:r w:rsidR="006D6406">
        <w:rPr>
          <w:color w:val="auto"/>
        </w:rPr>
        <w:t xml:space="preserve"> </w:t>
      </w:r>
      <w:r w:rsidR="00C64078">
        <w:rPr>
          <w:color w:val="auto"/>
        </w:rPr>
        <w:t>.</w:t>
      </w:r>
    </w:p>
    <w:p w14:paraId="4E64A519" w14:textId="75D60CD2" w:rsidR="00EB0942" w:rsidRDefault="00233BFC" w:rsidP="00575173">
      <w:pPr>
        <w:pStyle w:val="Akapitzlist"/>
        <w:numPr>
          <w:ilvl w:val="0"/>
          <w:numId w:val="7"/>
        </w:numPr>
      </w:pPr>
      <w:r>
        <w:t xml:space="preserve">Strony dopuszczają na podstawie art. 455 ust. 1 pkt. 1 Prawa zamówień publicznych możliwość zmiany terminu realizacji terminu umowy określonego w pkt. 1  w szczególności, jeżeli  z przyczyn </w:t>
      </w:r>
      <w:r>
        <w:lastRenderedPageBreak/>
        <w:t>niezależnych  od zamawiającego  ilość przekazanych zamawiającemu odpadów uniemożliwi wykonanie umowy w tym terminie. W przypadku wcześniejszego  przekazania do zamawiającego odpadów w ilości umożliwiającej realizuje umowy,</w:t>
      </w:r>
      <w:r w:rsidR="002521DE">
        <w:t xml:space="preserve"> </w:t>
      </w:r>
      <w:r>
        <w:t>strony dopuszczają możliwość przyspieszenia realizacji terminu umowy.</w:t>
      </w:r>
    </w:p>
    <w:p w14:paraId="2FB6B9E5" w14:textId="77777777" w:rsidR="00575173" w:rsidRPr="00575173" w:rsidRDefault="00575173" w:rsidP="00575173">
      <w:pPr>
        <w:pStyle w:val="Akapitzlist"/>
        <w:ind w:left="383" w:firstLine="0"/>
      </w:pPr>
    </w:p>
    <w:p w14:paraId="061E9D1B" w14:textId="757EB49C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791FF72D" w14:textId="504DB9EF" w:rsidR="00EB0942" w:rsidRPr="00575173" w:rsidRDefault="00975E94" w:rsidP="00575173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5A5A811E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D183AD5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0595DC8B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 xml:space="preserve">Adres: ul. </w:t>
      </w:r>
      <w:proofErr w:type="spellStart"/>
      <w:r w:rsidRPr="006437AF">
        <w:rPr>
          <w:rFonts w:eastAsia="Times New Roman"/>
          <w:i/>
          <w:color w:val="auto"/>
          <w:szCs w:val="21"/>
        </w:rPr>
        <w:t>Staroprzygodzka</w:t>
      </w:r>
      <w:proofErr w:type="spellEnd"/>
      <w:r w:rsidRPr="006437AF">
        <w:rPr>
          <w:rFonts w:eastAsia="Times New Roman"/>
          <w:i/>
          <w:color w:val="auto"/>
          <w:szCs w:val="21"/>
        </w:rPr>
        <w:t xml:space="preserve"> 121, 63-400 Ostrów Wielkopolski</w:t>
      </w:r>
    </w:p>
    <w:p w14:paraId="613A67D5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8AE3E15" w14:textId="77777777" w:rsidR="00EB0942" w:rsidRPr="00F8400F" w:rsidRDefault="00EB0942" w:rsidP="00C2771B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6F906E16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12DC469E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278DE25B" w14:textId="77777777" w:rsidR="001E0565" w:rsidRPr="00975E94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0931976D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E8AE652" w14:textId="77777777" w:rsidR="001E0565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1B2BAB2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00B10F84" w14:textId="77777777" w:rsidR="004E4A1D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23ACEE0E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C356448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6754F14A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40B97ED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274411F1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79710C7C" w14:textId="77777777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0F8EB42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68660057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C2800BF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udostępniać swoim pracownikom poufne informacje dotyczące drugiej Strony tylko w zakresie podstawowej i niezbędnej wiedzy dla potrzeb wykonywania przedmiotu Umowy,</w:t>
      </w:r>
    </w:p>
    <w:p w14:paraId="15B156FD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4F62D2D8" w14:textId="77777777"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1D3F856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8ECBD1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1D1E256C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288E5775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77BDF852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DEC534E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7E44B85D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2D61D09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C8C97DD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8AAACAF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26AFA6A5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B98BF1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1" w:name="bookmark6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11</w:t>
      </w:r>
    </w:p>
    <w:p w14:paraId="6DE7A334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6A6CF78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2" w:name="bookmark7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12</w:t>
      </w:r>
    </w:p>
    <w:p w14:paraId="7160D6C6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2B1C56E1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793DAD68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4E326D69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7F9C2E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5A0CCC6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3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3"/>
      <w:r w:rsidRPr="002D5D58">
        <w:rPr>
          <w:b/>
          <w:bCs/>
          <w:color w:val="auto"/>
          <w:szCs w:val="21"/>
          <w:lang w:eastAsia="ar-SA"/>
        </w:rPr>
        <w:t>15</w:t>
      </w:r>
    </w:p>
    <w:p w14:paraId="24DC8632" w14:textId="5B5B97E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>mowy wymagają formy pisemnej pod rygorem nieważności</w:t>
      </w:r>
      <w:bookmarkStart w:id="4" w:name="bookmark9"/>
      <w:r w:rsidR="00575173">
        <w:rPr>
          <w:color w:val="auto"/>
          <w:szCs w:val="21"/>
          <w:lang w:eastAsia="ar-SA"/>
        </w:rPr>
        <w:t>.</w:t>
      </w:r>
    </w:p>
    <w:p w14:paraId="3B1503D5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4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3040C9C9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2253ABA5" w14:textId="5B74E79B" w:rsidR="00437DA2" w:rsidRPr="002521DE" w:rsidRDefault="00647808" w:rsidP="002521DE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0A45A4D7" w14:textId="77777777" w:rsidR="00575173" w:rsidRDefault="00575173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583D63B7" w14:textId="2CD18953" w:rsidR="00D7703F" w:rsidRPr="00C2771B" w:rsidRDefault="00975E94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sectPr w:rsidR="00D7703F" w:rsidRPr="00C2771B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9661" w14:textId="77777777" w:rsidR="003C5164" w:rsidRDefault="003C5164">
      <w:pPr>
        <w:spacing w:after="0" w:line="240" w:lineRule="auto"/>
      </w:pPr>
      <w:r>
        <w:separator/>
      </w:r>
    </w:p>
  </w:endnote>
  <w:endnote w:type="continuationSeparator" w:id="0">
    <w:p w14:paraId="408135BE" w14:textId="77777777" w:rsidR="003C5164" w:rsidRDefault="003C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130F27D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2DD394FB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35B7" w14:textId="77777777" w:rsidR="003C5164" w:rsidRDefault="003C5164">
      <w:pPr>
        <w:spacing w:after="0" w:line="240" w:lineRule="auto"/>
      </w:pPr>
      <w:r>
        <w:separator/>
      </w:r>
    </w:p>
  </w:footnote>
  <w:footnote w:type="continuationSeparator" w:id="0">
    <w:p w14:paraId="2622287A" w14:textId="77777777" w:rsidR="003C5164" w:rsidRDefault="003C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9BC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A6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23B9C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105F3"/>
    <w:rsid w:val="00152930"/>
    <w:rsid w:val="001C6FCA"/>
    <w:rsid w:val="001D2C8A"/>
    <w:rsid w:val="001D31E9"/>
    <w:rsid w:val="001E0565"/>
    <w:rsid w:val="001F1541"/>
    <w:rsid w:val="001F51DA"/>
    <w:rsid w:val="00206BD1"/>
    <w:rsid w:val="00206D21"/>
    <w:rsid w:val="0021384C"/>
    <w:rsid w:val="00213972"/>
    <w:rsid w:val="002300BA"/>
    <w:rsid w:val="00231DB0"/>
    <w:rsid w:val="00233BFC"/>
    <w:rsid w:val="00243BB8"/>
    <w:rsid w:val="002521DE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578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A5C35"/>
    <w:rsid w:val="003B7E1D"/>
    <w:rsid w:val="003C5164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55E5"/>
    <w:rsid w:val="00456620"/>
    <w:rsid w:val="00470BC7"/>
    <w:rsid w:val="004743C6"/>
    <w:rsid w:val="00475CE7"/>
    <w:rsid w:val="00490240"/>
    <w:rsid w:val="004A78AF"/>
    <w:rsid w:val="004C2AA9"/>
    <w:rsid w:val="004D3C86"/>
    <w:rsid w:val="004E4A1D"/>
    <w:rsid w:val="004F2526"/>
    <w:rsid w:val="004F4F6B"/>
    <w:rsid w:val="00501671"/>
    <w:rsid w:val="00511766"/>
    <w:rsid w:val="00520BB4"/>
    <w:rsid w:val="005270B2"/>
    <w:rsid w:val="005308BC"/>
    <w:rsid w:val="00545967"/>
    <w:rsid w:val="00552874"/>
    <w:rsid w:val="005551C6"/>
    <w:rsid w:val="005569E6"/>
    <w:rsid w:val="00575173"/>
    <w:rsid w:val="00587B83"/>
    <w:rsid w:val="005945E0"/>
    <w:rsid w:val="005A2EFE"/>
    <w:rsid w:val="005D001E"/>
    <w:rsid w:val="005D13B3"/>
    <w:rsid w:val="005D6691"/>
    <w:rsid w:val="005E27DF"/>
    <w:rsid w:val="005E29D5"/>
    <w:rsid w:val="005F29BF"/>
    <w:rsid w:val="005F302A"/>
    <w:rsid w:val="0061796F"/>
    <w:rsid w:val="00634A2C"/>
    <w:rsid w:val="006437AF"/>
    <w:rsid w:val="00647808"/>
    <w:rsid w:val="00661F17"/>
    <w:rsid w:val="00664AAE"/>
    <w:rsid w:val="00666B17"/>
    <w:rsid w:val="00682400"/>
    <w:rsid w:val="006827FC"/>
    <w:rsid w:val="00686244"/>
    <w:rsid w:val="006A2B7F"/>
    <w:rsid w:val="006B1FE2"/>
    <w:rsid w:val="006B3544"/>
    <w:rsid w:val="006B3B0B"/>
    <w:rsid w:val="006B7E7A"/>
    <w:rsid w:val="006C0325"/>
    <w:rsid w:val="006C4C29"/>
    <w:rsid w:val="006D25B8"/>
    <w:rsid w:val="006D6406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A77B9"/>
    <w:rsid w:val="007B6E72"/>
    <w:rsid w:val="007B712D"/>
    <w:rsid w:val="007D272B"/>
    <w:rsid w:val="00804435"/>
    <w:rsid w:val="008136DA"/>
    <w:rsid w:val="008178A3"/>
    <w:rsid w:val="00822E77"/>
    <w:rsid w:val="00831C40"/>
    <w:rsid w:val="008573CE"/>
    <w:rsid w:val="00891962"/>
    <w:rsid w:val="008C39D5"/>
    <w:rsid w:val="008D55E3"/>
    <w:rsid w:val="008F22B2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A06BC4"/>
    <w:rsid w:val="00A14010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22F26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B1F6E"/>
    <w:rsid w:val="00BC61C3"/>
    <w:rsid w:val="00BD331E"/>
    <w:rsid w:val="00BF284D"/>
    <w:rsid w:val="00C04BC0"/>
    <w:rsid w:val="00C0624D"/>
    <w:rsid w:val="00C07788"/>
    <w:rsid w:val="00C13604"/>
    <w:rsid w:val="00C26640"/>
    <w:rsid w:val="00C2771B"/>
    <w:rsid w:val="00C541BF"/>
    <w:rsid w:val="00C64078"/>
    <w:rsid w:val="00C664DB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306E7"/>
    <w:rsid w:val="00D439DC"/>
    <w:rsid w:val="00D604F1"/>
    <w:rsid w:val="00D75CD8"/>
    <w:rsid w:val="00D7703F"/>
    <w:rsid w:val="00D84CF7"/>
    <w:rsid w:val="00D85FCD"/>
    <w:rsid w:val="00D870F7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0C19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0224B"/>
  <w15:docId w15:val="{A4D60AE2-EEB8-4885-9351-B9CDD56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8F3C-5583-4F39-966F-A7398B7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Renata Schubert</cp:lastModifiedBy>
  <cp:revision>2</cp:revision>
  <cp:lastPrinted>2022-05-06T07:53:00Z</cp:lastPrinted>
  <dcterms:created xsi:type="dcterms:W3CDTF">2022-05-12T13:07:00Z</dcterms:created>
  <dcterms:modified xsi:type="dcterms:W3CDTF">2022-05-12T13:07:00Z</dcterms:modified>
</cp:coreProperties>
</file>